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FC5BD7E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322F71">
        <w:rPr>
          <w:rFonts w:ascii="GHEA Grapalat" w:hAnsi="GHEA Grapalat"/>
          <w:sz w:val="20"/>
          <w:szCs w:val="20"/>
          <w:lang w:val="af-ZA"/>
        </w:rPr>
        <w:t xml:space="preserve"> ձեռքբերման</w:t>
      </w:r>
      <w:r w:rsidR="00F25381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3B60DB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D90ADC" w:rsidRPr="00D90AD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61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310"/>
        <w:gridCol w:w="346"/>
        <w:gridCol w:w="221"/>
        <w:gridCol w:w="142"/>
        <w:gridCol w:w="204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371"/>
        <w:gridCol w:w="437"/>
        <w:gridCol w:w="271"/>
        <w:gridCol w:w="71"/>
        <w:gridCol w:w="267"/>
        <w:gridCol w:w="554"/>
        <w:gridCol w:w="101"/>
        <w:gridCol w:w="283"/>
        <w:gridCol w:w="239"/>
        <w:gridCol w:w="8"/>
        <w:gridCol w:w="7"/>
        <w:gridCol w:w="830"/>
        <w:gridCol w:w="254"/>
        <w:gridCol w:w="1186"/>
      </w:tblGrid>
      <w:tr w:rsidR="00D90ADC" w:rsidRPr="00C90707" w14:paraId="3BCB0F4A" w14:textId="77777777" w:rsidTr="00D90ADC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90ADC" w:rsidRPr="00C90707" w14:paraId="796D388F" w14:textId="77777777" w:rsidTr="00D90ADC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90ADC" w:rsidRPr="00C90707" w14:paraId="02BE1D52" w14:textId="77777777" w:rsidTr="00D90ADC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ADC" w:rsidRPr="00C90707" w14:paraId="688F77C8" w14:textId="77777777" w:rsidTr="00D90ADC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ADC" w:rsidRPr="006A0A85" w14:paraId="1E0EE2C1" w14:textId="77777777" w:rsidTr="00D90ADC">
        <w:trPr>
          <w:trHeight w:val="489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D90ADC" w:rsidRPr="00D5534E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5534E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7559BEA8" w:rsidR="00D90ADC" w:rsidRPr="00C808C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Սամարիումի</w:t>
            </w:r>
            <w:proofErr w:type="spellEnd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 xml:space="preserve"> (III) </w:t>
            </w: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օքսիդ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20D83E1A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3CEC21F0" w:rsidR="00D90ADC" w:rsidRPr="005119A1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D90ADC" w:rsidRPr="00011CBF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3E0A9BD3" w:rsidR="00D90ADC" w:rsidRPr="00060000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500000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03F098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Սամարիումի (III) օքսիդ, (Sm2Օ3),</w:t>
            </w:r>
          </w:p>
          <w:p w14:paraId="31319B30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Սամարիումի օքսիդ (III), փոշի, մաքրություն 99</w:t>
            </w:r>
            <w:r w:rsidRPr="00D90ADC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 xml:space="preserve">9 %, մասնիկի չափս - 325 մեշ, </w:t>
            </w:r>
          </w:p>
          <w:p w14:paraId="571B3B1B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Փաթեթավորումը՝1000գ</w:t>
            </w:r>
          </w:p>
          <w:p w14:paraId="4AB75D44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CAS number: 12060-58-1</w:t>
            </w:r>
          </w:p>
          <w:p w14:paraId="7781C71A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val="hy-AM" w:eastAsia="hy-AM"/>
              </w:rPr>
            </w:pPr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 w:eastAsia="hy-AM"/>
              </w:rPr>
              <w:t>Պարտադիր պահանջներ</w:t>
            </w:r>
          </w:p>
          <w:p w14:paraId="48C022A3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լինեն նոր, պիտակավորված, վավերացված/սերտիֆիկացված և ճիշտ փաթեթավորված։</w:t>
            </w:r>
          </w:p>
          <w:p w14:paraId="0DFD9A2A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Յուրաքանչյուր քիմիկատ պետք է ունենա</w:t>
            </w:r>
            <w:r w:rsidRPr="00D90ADC">
              <w:rPr>
                <w:rFonts w:ascii="Times New Roman" w:hAnsi="Times New Roman"/>
                <w:sz w:val="14"/>
                <w:szCs w:val="14"/>
                <w:lang w:val="hy-AM"/>
              </w:rPr>
              <w:t>․</w:t>
            </w:r>
          </w:p>
          <w:p w14:paraId="550FF3A8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600348EC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79117E3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2F24072E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14344BA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3546F446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7E15FA84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2C389908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1253A425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</w:p>
          <w:p w14:paraId="7B4413CA" w14:textId="5E937D0F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1F09B8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Սամարիումի (III) օքսիդ, (Sm2Օ3),</w:t>
            </w:r>
          </w:p>
          <w:p w14:paraId="2AC4DC3E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Սամարիումի օքսիդ (III), փոշի, մաքրություն 99</w:t>
            </w:r>
            <w:r w:rsidRPr="00D90ADC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 xml:space="preserve">9 %, մասնիկի չափս - 325 մեշ, </w:t>
            </w:r>
          </w:p>
          <w:p w14:paraId="5D420EDD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Փաթեթավորումը՝1000գ</w:t>
            </w:r>
          </w:p>
          <w:p w14:paraId="4A41140B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CAS number: 12060-58-1</w:t>
            </w:r>
          </w:p>
          <w:p w14:paraId="3DAAC915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val="hy-AM" w:eastAsia="hy-AM"/>
              </w:rPr>
            </w:pPr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 w:eastAsia="hy-AM"/>
              </w:rPr>
              <w:t>Պարտադիր պահանջներ</w:t>
            </w:r>
          </w:p>
          <w:p w14:paraId="5BF0F15C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լինեն նոր, պիտակավորված, վավերացված/սերտիֆիկացված և ճիշտ փաթեթավորված։</w:t>
            </w:r>
          </w:p>
          <w:p w14:paraId="4568423E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Յուրաքանչյուր քիմիկատ պետք է ունենա</w:t>
            </w:r>
            <w:r w:rsidRPr="00D90ADC">
              <w:rPr>
                <w:rFonts w:ascii="Times New Roman" w:hAnsi="Times New Roman"/>
                <w:sz w:val="14"/>
                <w:szCs w:val="14"/>
                <w:lang w:val="hy-AM"/>
              </w:rPr>
              <w:t>․</w:t>
            </w:r>
          </w:p>
          <w:p w14:paraId="4BC22CF9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73442E3C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19AEB593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5E7892F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52AA909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747953DB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6D92ED72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38AC160A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3CD65F91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</w:p>
          <w:p w14:paraId="7DB82FCE" w14:textId="40036DAE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</w:tr>
      <w:tr w:rsidR="00D90ADC" w:rsidRPr="00322F71" w14:paraId="68905F26" w14:textId="77777777" w:rsidTr="00D90ADC">
        <w:trPr>
          <w:trHeight w:val="1610"/>
        </w:trPr>
        <w:tc>
          <w:tcPr>
            <w:tcW w:w="630" w:type="dxa"/>
            <w:shd w:val="clear" w:color="auto" w:fill="auto"/>
            <w:vAlign w:val="center"/>
          </w:tcPr>
          <w:p w14:paraId="4B565FCB" w14:textId="3B8C91E0" w:rsidR="00D90ADC" w:rsidRPr="00D5534E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CB6F" w14:textId="469296D2" w:rsidR="00D90ADC" w:rsidRPr="00C808C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Էթիլենդիամին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A2F40" w14:textId="1B69B1F9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3807F" w14:textId="1766D50B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3E3D" w14:textId="49F07E71" w:rsidR="00D90ADC" w:rsidRPr="00011CBF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1632F" w14:textId="00105568" w:rsidR="00D90ADC" w:rsidRPr="00011CBF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6BE51" w14:textId="430827E3" w:rsidR="00D90ADC" w:rsidRPr="00060000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50000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CCE9EC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Cs/>
                <w:sz w:val="14"/>
                <w:szCs w:val="14"/>
                <w:lang w:val="hy-AM" w:eastAsia="ru-RU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Էթիլենդիամին C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4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(NH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)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</w:p>
          <w:p w14:paraId="2936CB57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color w:val="222222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 w:eastAsia="ru-RU"/>
              </w:rPr>
              <w:t>Էթիլենդիամին</w:t>
            </w: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/>
              </w:rPr>
              <w:t xml:space="preserve">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 xml:space="preserve">ջրային լուծույթ, մաքրությունը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≥99%, խտությունը </w:t>
            </w: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 xml:space="preserve">0.899 գ/մլ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(20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C), եռման ջերմաստիճանը 118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о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C, հալման ջերմաստիճանը 8.5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 xml:space="preserve"> о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C, գոլորշիների խտությունը՝ 10 մմHg (20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C),  լուծելի է ջրում, մեթանոլում,էթանոլում,ացետոնում,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>1 լ</w:t>
            </w:r>
            <w:r w:rsidRPr="00D90ADC">
              <w:rPr>
                <w:rFonts w:ascii="Times New Roman" w:hAnsi="Times New Roman"/>
                <w:color w:val="000000"/>
                <w:sz w:val="14"/>
                <w:szCs w:val="14"/>
                <w:lang w:val="hy-AM"/>
              </w:rPr>
              <w:t>․</w:t>
            </w:r>
            <w:r w:rsidRPr="00D90ADC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  <w:lang w:val="hy-AM"/>
              </w:rPr>
              <w:t xml:space="preserve"> CAS number: 107-15-3</w:t>
            </w:r>
          </w:p>
          <w:p w14:paraId="3623A2D2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</w:pPr>
          </w:p>
          <w:p w14:paraId="102A2071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3B2B53D6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083C08D8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022C009E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6D205F13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0DEC4628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3C4C267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lastRenderedPageBreak/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506BF34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5860BB0A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11F45D15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450004C4" w14:textId="66A39810" w:rsidR="00D90ADC" w:rsidRPr="00D90ADC" w:rsidRDefault="00D90ADC" w:rsidP="00D90ADC">
            <w:pPr>
              <w:pBdr>
                <w:bottom w:val="single" w:sz="6" w:space="8" w:color="EEEEEE"/>
              </w:pBdr>
              <w:tabs>
                <w:tab w:val="left" w:pos="176"/>
                <w:tab w:val="left" w:pos="540"/>
              </w:tabs>
              <w:spacing w:before="0" w:after="0"/>
              <w:ind w:left="0" w:firstLine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1D00AA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Cs/>
                <w:sz w:val="14"/>
                <w:szCs w:val="14"/>
                <w:lang w:val="hy-AM" w:eastAsia="ru-RU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lastRenderedPageBreak/>
              <w:t>Էթիլենդիամին C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4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(NH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)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</w:p>
          <w:p w14:paraId="7EAF3C11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color w:val="222222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 w:eastAsia="ru-RU"/>
              </w:rPr>
              <w:t>Էթիլենդիամին</w:t>
            </w: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/>
              </w:rPr>
              <w:t xml:space="preserve">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 xml:space="preserve">ջրային լուծույթ, մաքրությունը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≥99%, խտությունը </w:t>
            </w: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 xml:space="preserve">0.899 գ/մլ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(20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C), եռման ջերմաստիճանը 118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о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C, հալման ջերմաստիճանը 8.5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 xml:space="preserve"> о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C, գոլորշիների խտությունը՝ 10 մմHg (20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C),  լուծելի է ջրում, մեթանոլում,էթանոլում,ացետոնում,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>1 լ</w:t>
            </w:r>
            <w:r w:rsidRPr="00D90ADC">
              <w:rPr>
                <w:rFonts w:ascii="Times New Roman" w:hAnsi="Times New Roman"/>
                <w:color w:val="000000"/>
                <w:sz w:val="14"/>
                <w:szCs w:val="14"/>
                <w:lang w:val="hy-AM"/>
              </w:rPr>
              <w:t>․</w:t>
            </w:r>
            <w:r w:rsidRPr="00D90ADC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  <w:lang w:val="hy-AM"/>
              </w:rPr>
              <w:t xml:space="preserve"> CAS number: 107-15-3</w:t>
            </w:r>
          </w:p>
          <w:p w14:paraId="23A04EDD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</w:pPr>
          </w:p>
          <w:p w14:paraId="57FE4355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506A05EB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0E71F3BF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44A0A50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61E7D1B0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1564261B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3E169321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lastRenderedPageBreak/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0317311C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2BC3A3AA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0B6A75D9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2CC3A4A7" w14:textId="0E37BC15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</w:tr>
      <w:tr w:rsidR="00D90ADC" w:rsidRPr="00322F71" w14:paraId="33130BD6" w14:textId="77777777" w:rsidTr="00D90ADC">
        <w:trPr>
          <w:trHeight w:val="1610"/>
        </w:trPr>
        <w:tc>
          <w:tcPr>
            <w:tcW w:w="630" w:type="dxa"/>
            <w:shd w:val="clear" w:color="auto" w:fill="auto"/>
            <w:vAlign w:val="center"/>
          </w:tcPr>
          <w:p w14:paraId="1461C3FF" w14:textId="7CB9D287" w:rsidR="00D90ADC" w:rsidRP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8BA26" w14:textId="00B0D3F4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proofErr w:type="spellStart"/>
            <w:proofErr w:type="gram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Մանգանի</w:t>
            </w:r>
            <w:proofErr w:type="spellEnd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(</w:t>
            </w:r>
            <w:proofErr w:type="gramEnd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 xml:space="preserve">II) </w:t>
            </w: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քլորիդ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9F33C" w14:textId="40DD6636" w:rsid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51DCF" w14:textId="0DA9234B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58650" w14:textId="2CBBA3AE" w:rsidR="00D90ADC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E6522" w14:textId="35830A85" w:rsidR="00D90ADC" w:rsidRPr="00011CBF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A9A6C" w14:textId="2AEF02C9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50000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D88D0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sz w:val="14"/>
                <w:szCs w:val="14"/>
              </w:rPr>
            </w:pPr>
            <w:proofErr w:type="spellStart"/>
            <w:proofErr w:type="gramStart"/>
            <w:r w:rsidRPr="00D90ADC">
              <w:rPr>
                <w:rFonts w:ascii="Sylfaen" w:hAnsi="Sylfaen" w:cstheme="majorHAnsi"/>
                <w:b/>
                <w:sz w:val="14"/>
                <w:szCs w:val="14"/>
              </w:rPr>
              <w:t>Մանգանի</w:t>
            </w:r>
            <w:proofErr w:type="spellEnd"/>
            <w:r w:rsidRPr="00D90ADC">
              <w:rPr>
                <w:rFonts w:ascii="Sylfaen" w:hAnsi="Sylfaen" w:cstheme="majorHAnsi"/>
                <w:b/>
                <w:sz w:val="14"/>
                <w:szCs w:val="14"/>
              </w:rPr>
              <w:t>(</w:t>
            </w:r>
            <w:proofErr w:type="gramEnd"/>
            <w:r w:rsidRPr="00D90ADC">
              <w:rPr>
                <w:rFonts w:ascii="Sylfaen" w:hAnsi="Sylfaen" w:cstheme="majorHAnsi"/>
                <w:b/>
                <w:sz w:val="14"/>
                <w:szCs w:val="14"/>
              </w:rPr>
              <w:t xml:space="preserve">II) </w:t>
            </w:r>
            <w:proofErr w:type="spellStart"/>
            <w:r w:rsidRPr="00D90ADC">
              <w:rPr>
                <w:rFonts w:ascii="Sylfaen" w:hAnsi="Sylfaen" w:cstheme="majorHAnsi"/>
                <w:b/>
                <w:sz w:val="14"/>
                <w:szCs w:val="14"/>
              </w:rPr>
              <w:t>քլորիդ</w:t>
            </w:r>
            <w:proofErr w:type="spellEnd"/>
            <w:r w:rsidRPr="00D90ADC">
              <w:rPr>
                <w:rFonts w:ascii="Sylfaen" w:hAnsi="Sylfaen" w:cstheme="majorHAnsi"/>
                <w:b/>
                <w:sz w:val="14"/>
                <w:szCs w:val="14"/>
              </w:rPr>
              <w:t xml:space="preserve"> 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eastAsia="ru-RU"/>
              </w:rPr>
              <w:t>MnCl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eastAsia="ru-RU"/>
              </w:rPr>
              <w:t>2</w:t>
            </w:r>
            <w:r w:rsidRPr="00D90ADC">
              <w:rPr>
                <w:rFonts w:ascii="Sylfaen" w:hAnsi="Sylfaen" w:cstheme="majorHAnsi"/>
                <w:b/>
                <w:sz w:val="14"/>
                <w:szCs w:val="14"/>
              </w:rPr>
              <w:t>,</w:t>
            </w:r>
          </w:p>
          <w:p w14:paraId="7B4655B9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color w:val="333333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Մանգանի(II) քլորիդ</w:t>
            </w: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/>
              </w:rPr>
              <w:t xml:space="preserve">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 xml:space="preserve">բաց վարդագույն բյուրեղական, մաքրությունը՝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≥99%, խտությունը՝ </w:t>
            </w: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2.98 գ/մլ,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 լուծելի է ջրում,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փաթեթավորումը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՝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1000գ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,</w:t>
            </w:r>
          </w:p>
          <w:p w14:paraId="545382F5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 </w:t>
            </w:r>
            <w:r w:rsidRPr="00D90ADC"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  <w:t>7773-01-5</w:t>
            </w:r>
          </w:p>
          <w:p w14:paraId="22D3C873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31BD9648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513B0BF7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6146EB5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78BEE53B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4E6D01F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46F1528C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32F89B5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066BB086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6C5FB156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7E030F9A" w14:textId="2E2313F9" w:rsidR="00D90ADC" w:rsidRPr="00D90ADC" w:rsidRDefault="00D90ADC" w:rsidP="00D90ADC">
            <w:pPr>
              <w:pBdr>
                <w:bottom w:val="single" w:sz="6" w:space="8" w:color="EEEEEE"/>
              </w:pBdr>
              <w:tabs>
                <w:tab w:val="left" w:pos="176"/>
                <w:tab w:val="left" w:pos="540"/>
              </w:tabs>
              <w:spacing w:before="0" w:after="0"/>
              <w:ind w:left="0" w:firstLine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3897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sz w:val="14"/>
                <w:szCs w:val="14"/>
                <w:lang w:val="hy-AM"/>
              </w:rPr>
              <w:t xml:space="preserve">Մանգանի(II) քլորիդ 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MnCl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 w:eastAsia="ru-RU"/>
              </w:rPr>
              <w:t>2</w:t>
            </w:r>
            <w:r w:rsidRPr="00D90ADC">
              <w:rPr>
                <w:rFonts w:ascii="Sylfaen" w:hAnsi="Sylfaen" w:cstheme="majorHAnsi"/>
                <w:b/>
                <w:sz w:val="14"/>
                <w:szCs w:val="14"/>
                <w:lang w:val="hy-AM"/>
              </w:rPr>
              <w:t>,</w:t>
            </w:r>
          </w:p>
          <w:p w14:paraId="6082ACDB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Մանգանի(II) քլորիդ</w:t>
            </w: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/>
              </w:rPr>
              <w:t xml:space="preserve">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 xml:space="preserve">բաց վարդագույն բյուրեղական, մաքրությունը՝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≥99%, խտությունը՝ </w:t>
            </w:r>
            <w:r w:rsidRPr="00D90ADC">
              <w:rPr>
                <w:rFonts w:ascii="Sylfaen" w:hAnsi="Sylfaen" w:cstheme="majorHAnsi"/>
                <w:sz w:val="14"/>
                <w:szCs w:val="14"/>
                <w:lang w:val="hy-AM"/>
              </w:rPr>
              <w:t>2.98 գ/մլ,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 xml:space="preserve"> լուծելի է ջրում, փաթեթավորումը՝ 1000գ,</w:t>
            </w:r>
          </w:p>
          <w:p w14:paraId="102E29A6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 </w:t>
            </w:r>
            <w:r w:rsidRPr="00D90ADC"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  <w:t>7773-01-5</w:t>
            </w:r>
          </w:p>
          <w:p w14:paraId="560081D9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6C8232AD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59DF16AD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5E75C030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665AED5E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4951199F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4750C6DF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00EA3840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347C9D8F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2BB5342B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567A7623" w14:textId="619F23F5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</w:tr>
      <w:tr w:rsidR="00D90ADC" w:rsidRPr="00322F71" w14:paraId="6E9D222F" w14:textId="77777777" w:rsidTr="00D90ADC">
        <w:trPr>
          <w:trHeight w:val="1610"/>
        </w:trPr>
        <w:tc>
          <w:tcPr>
            <w:tcW w:w="630" w:type="dxa"/>
            <w:shd w:val="clear" w:color="auto" w:fill="auto"/>
            <w:vAlign w:val="center"/>
          </w:tcPr>
          <w:p w14:paraId="333D86EB" w14:textId="7FCE7150" w:rsidR="00D90ADC" w:rsidRP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DA343" w14:textId="1ABFED11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Կարբոհիդրազիդ</w:t>
            </w:r>
            <w:proofErr w:type="spellEnd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 xml:space="preserve"> CO(NHNH2)2,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D3388" w14:textId="08A70DC5" w:rsid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EBB5A" w14:textId="7F375C71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64874" w14:textId="09E249E0" w:rsidR="00D90ADC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68565" w14:textId="4938BC5D" w:rsidR="00D90ADC" w:rsidRPr="00011CBF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86C2D" w14:textId="2E4AB243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600000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084F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D90ADC">
              <w:rPr>
                <w:rFonts w:ascii="Sylfaen" w:hAnsi="Sylfaen" w:cstheme="majorHAnsi"/>
                <w:b/>
                <w:bCs/>
                <w:color w:val="000000"/>
                <w:spacing w:val="6"/>
                <w:kern w:val="36"/>
                <w:sz w:val="14"/>
                <w:szCs w:val="14"/>
                <w:lang w:eastAsia="ru-RU"/>
              </w:rPr>
              <w:t>Կարբոհիդրազիդ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color w:val="000000"/>
                <w:spacing w:val="6"/>
                <w:kern w:val="36"/>
                <w:sz w:val="14"/>
                <w:szCs w:val="14"/>
                <w:lang w:eastAsia="ru-RU"/>
              </w:rPr>
              <w:t xml:space="preserve"> 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</w:rPr>
              <w:t>CO(NHNH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vertAlign w:val="subscript"/>
              </w:rPr>
              <w:t>2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</w:rPr>
              <w:t>)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vertAlign w:val="subscript"/>
              </w:rPr>
              <w:t>2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</w:rPr>
              <w:t>,</w:t>
            </w:r>
          </w:p>
          <w:p w14:paraId="38C571CD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color w:val="333333"/>
                <w:sz w:val="14"/>
                <w:szCs w:val="14"/>
              </w:rPr>
            </w:pPr>
            <w:proofErr w:type="spellStart"/>
            <w:proofErr w:type="gramStart"/>
            <w:r w:rsidRPr="00D90ADC">
              <w:rPr>
                <w:rFonts w:ascii="Sylfaen" w:hAnsi="Sylfaen" w:cstheme="majorHAnsi"/>
                <w:bCs/>
                <w:color w:val="000000"/>
                <w:spacing w:val="6"/>
                <w:kern w:val="36"/>
                <w:sz w:val="14"/>
                <w:szCs w:val="14"/>
              </w:rPr>
              <w:t>Կարբոհիդրազիդ,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սպիտակ</w:t>
            </w:r>
            <w:proofErr w:type="spellEnd"/>
            <w:proofErr w:type="gram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բյուրեղական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փոշի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մաքրությունը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≥98%,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խտությունը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 1</w:t>
            </w:r>
            <w:r w:rsidRPr="00D90ADC">
              <w:rPr>
                <w:rFonts w:ascii="Times New Roman" w:hAnsi="Times New Roman"/>
                <w:color w:val="333333"/>
                <w:sz w:val="14"/>
                <w:szCs w:val="14"/>
              </w:rPr>
              <w:t>․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341 գ/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մլ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հալման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ջերմաստիճանը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 154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C,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լուծվում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ջրում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փաթեթավորումը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 1000գ,</w:t>
            </w:r>
          </w:p>
          <w:p w14:paraId="09AB9AAB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color w:val="222222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 497-18-7</w:t>
            </w:r>
          </w:p>
          <w:p w14:paraId="175959C1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59D50D77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5D726B97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09966623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69D8FDDE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44900D7B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65620DBC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7DB5CE45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42B71943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05510446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085AD730" w14:textId="101D983F" w:rsidR="00D90ADC" w:rsidRPr="00D90ADC" w:rsidRDefault="00D90ADC" w:rsidP="00D90ADC">
            <w:pPr>
              <w:pBdr>
                <w:bottom w:val="single" w:sz="6" w:space="8" w:color="EEEEEE"/>
              </w:pBdr>
              <w:tabs>
                <w:tab w:val="left" w:pos="176"/>
                <w:tab w:val="left" w:pos="540"/>
              </w:tabs>
              <w:spacing w:before="0" w:after="0"/>
              <w:ind w:left="0" w:firstLine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35764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color w:val="000000"/>
                <w:spacing w:val="6"/>
                <w:kern w:val="36"/>
                <w:sz w:val="14"/>
                <w:szCs w:val="14"/>
                <w:lang w:val="hy-AM" w:eastAsia="ru-RU"/>
              </w:rPr>
              <w:t xml:space="preserve">Կարբոհիդրազիդ 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CO(NHNH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vertAlign w:val="subscript"/>
                <w:lang w:val="hy-AM"/>
              </w:rPr>
              <w:t>2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vertAlign w:val="subscript"/>
                <w:lang w:val="hy-AM"/>
              </w:rPr>
              <w:t>2</w:t>
            </w:r>
            <w:r w:rsidRPr="00D90ADC">
              <w:rPr>
                <w:rFonts w:ascii="Sylfaen" w:hAnsi="Sylfaen" w:cstheme="majorHAnsi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,</w:t>
            </w:r>
          </w:p>
          <w:p w14:paraId="19AC7058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Cs/>
                <w:color w:val="000000"/>
                <w:spacing w:val="6"/>
                <w:kern w:val="36"/>
                <w:sz w:val="14"/>
                <w:szCs w:val="14"/>
                <w:lang w:val="hy-AM"/>
              </w:rPr>
              <w:t>Կարբոհիդրազիդ,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 xml:space="preserve">սպիտակ բյուրեղական փոշի, մաքրությունը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≥98%, խտությունը՝ 1</w:t>
            </w:r>
            <w:r w:rsidRPr="00D90ADC">
              <w:rPr>
                <w:rFonts w:ascii="Times New Roman" w:hAnsi="Times New Roman"/>
                <w:color w:val="333333"/>
                <w:sz w:val="14"/>
                <w:szCs w:val="14"/>
                <w:lang w:val="hy-AM"/>
              </w:rPr>
              <w:t>․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341 գ/մլ, հալման ջերմաստիճանը՝ 154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C, լուծվում է ջրում, փաթեթավորումը՝ 1000գ,</w:t>
            </w:r>
          </w:p>
          <w:p w14:paraId="075EB1B8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color w:val="222222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 497-18-7</w:t>
            </w:r>
          </w:p>
          <w:p w14:paraId="56D499D6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351E9736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719BBEBE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7EF16DD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0F0FC3D3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6AD82CB9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0238A275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51BD0FAF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5D0F9AB8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3AAF7623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1FFE01F0" w14:textId="7853E8C4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</w:tr>
      <w:tr w:rsidR="00D90ADC" w:rsidRPr="00D90ADC" w14:paraId="4C54DB04" w14:textId="77777777" w:rsidTr="00D90ADC">
        <w:trPr>
          <w:trHeight w:val="1610"/>
        </w:trPr>
        <w:tc>
          <w:tcPr>
            <w:tcW w:w="630" w:type="dxa"/>
            <w:shd w:val="clear" w:color="auto" w:fill="auto"/>
            <w:vAlign w:val="center"/>
          </w:tcPr>
          <w:p w14:paraId="6B74E391" w14:textId="2DDDF609" w:rsidR="00D90ADC" w:rsidRP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0F8F" w14:textId="4FF66C35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Տետրամեթիլ</w:t>
            </w:r>
            <w:proofErr w:type="spellEnd"/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 </w:t>
            </w: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ամոնիումի</w:t>
            </w:r>
            <w:proofErr w:type="spellEnd"/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 </w:t>
            </w: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հիդրօքսիդի</w:t>
            </w:r>
            <w:proofErr w:type="spellEnd"/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 ((</w:t>
            </w:r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CH</w:t>
            </w:r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3)4</w:t>
            </w:r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N</w:t>
            </w:r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(</w:t>
            </w:r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OH</w:t>
            </w:r>
            <w:proofErr w:type="gramStart"/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),</w:t>
            </w:r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TMAOH</w:t>
            </w:r>
            <w:proofErr w:type="gramEnd"/>
            <w:r w:rsidRPr="00D90ADC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0E8A6" w14:textId="0BC8047A" w:rsid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9D9FB" w14:textId="209F1926" w:rsidR="00D90ADC" w:rsidRP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C5C6F" w14:textId="129486B9" w:rsidR="00D90ADC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2D787" w14:textId="6701185C" w:rsidR="00D90ADC" w:rsidRPr="00D90ADC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341A3" w14:textId="02A574A2" w:rsidR="00D90ADC" w:rsidRPr="00D90ADC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60000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65FCF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Տետրամեթիլ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ամոնիումի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հիդրօքսիդի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 xml:space="preserve"> ((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CH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ru-RU"/>
              </w:rPr>
              <w:t>3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>)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ru-RU"/>
              </w:rPr>
              <w:t>4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N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>(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OH</w:t>
            </w:r>
            <w:proofErr w:type="gram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>),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TMAOH</w:t>
            </w:r>
            <w:proofErr w:type="gram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>) 25%-</w:t>
            </w:r>
            <w:proofErr w:type="spell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ոց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ջրային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</w:rPr>
              <w:t>լուծույթ</w:t>
            </w:r>
            <w:proofErr w:type="spellEnd"/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ru-RU"/>
              </w:rPr>
              <w:t>,</w:t>
            </w:r>
          </w:p>
          <w:p w14:paraId="24766783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</w:pP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</w:rPr>
              <w:t>Տետրամեթիլ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</w:rPr>
              <w:t>ամոնիումի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</w:rPr>
              <w:t>հիդրօքսիդ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val="ru-RU"/>
              </w:rPr>
              <w:t xml:space="preserve">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ru-RU"/>
              </w:rPr>
              <w:t xml:space="preserve">0.25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լիտր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ջրային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լուծույթ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</w:rPr>
              <w:t>մաքրությունը</w:t>
            </w:r>
            <w:proofErr w:type="spellEnd"/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ru-RU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≥99.00%,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խտություն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1,016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գ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մլ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(25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</w:rPr>
              <w:t>օ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C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–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կոնցենտրացիա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` 2.7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Մ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(25%),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եռման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ջերմաստիճան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102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ru-RU"/>
              </w:rPr>
              <w:t>о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C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հալման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ջերմաստիճան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>` -25 °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C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կայուն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է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նորմալ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ջերմաստիճանի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և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ճնշման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պայմաններում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ներծծում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է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ածխաթթու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գազ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օդից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գոլորշիների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խտությունը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17.5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մմHg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(20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C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լուծելի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է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ջրում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մեթանոլում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զգայուն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է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օդի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նկատմամբ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/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ունի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հիդրոսկոպիկ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հատկություն</w:t>
            </w:r>
            <w:proofErr w:type="spellEnd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փաթեթավորումը</w:t>
            </w:r>
            <w:proofErr w:type="spellEnd"/>
            <w:proofErr w:type="gramStart"/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՝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  0</w:t>
            </w:r>
            <w:proofErr w:type="gramEnd"/>
            <w:r w:rsidRPr="00D90ADC">
              <w:rPr>
                <w:rFonts w:ascii="Times New Roman" w:hAnsi="Times New Roman"/>
                <w:color w:val="333333"/>
                <w:sz w:val="14"/>
                <w:szCs w:val="14"/>
                <w:lang w:val="ru-RU"/>
              </w:rPr>
              <w:t>․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ru-RU"/>
              </w:rPr>
              <w:t xml:space="preserve">25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</w:rPr>
              <w:t>լ</w:t>
            </w:r>
          </w:p>
          <w:p w14:paraId="6D6DC1DD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 75-59-2</w:t>
            </w:r>
          </w:p>
          <w:p w14:paraId="26B31ABF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4015D4BF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208F888B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3D75F837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71C026E6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73A14C59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0DFAE9D9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6DE9D28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3E3E03FF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6C2C12CB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75BA041F" w14:textId="71D9E8AF" w:rsidR="00D90ADC" w:rsidRPr="00D90ADC" w:rsidRDefault="00D90ADC" w:rsidP="00D90ADC">
            <w:pPr>
              <w:pBdr>
                <w:bottom w:val="single" w:sz="6" w:space="8" w:color="EEEEEE"/>
              </w:pBdr>
              <w:tabs>
                <w:tab w:val="left" w:pos="176"/>
                <w:tab w:val="left" w:pos="540"/>
              </w:tabs>
              <w:spacing w:before="0" w:after="0"/>
              <w:ind w:left="0" w:firstLine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158F0E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Տետրամեթիլ ամոնիումի հիդրօքսիդի ((CH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/>
              </w:rPr>
              <w:t>3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)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/>
              </w:rPr>
              <w:t>4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N(OH),TMAOH) 25%-ոց ջրային լուծույթ,</w:t>
            </w:r>
          </w:p>
          <w:p w14:paraId="441DDCA2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/>
              </w:rPr>
              <w:t xml:space="preserve">Տետրամեթիլ ամոնիումի հիդրօքսիդ, </w:t>
            </w:r>
            <w:r w:rsidRPr="00D90ADC">
              <w:rPr>
                <w:rFonts w:ascii="Sylfaen" w:hAnsi="Sylfaen" w:cstheme="majorHAnsi"/>
                <w:color w:val="000000"/>
                <w:sz w:val="14"/>
                <w:szCs w:val="14"/>
                <w:lang w:val="hy-AM"/>
              </w:rPr>
              <w:t xml:space="preserve">0.25 լիտր, ջրային լուծույթ, մաքրությունը 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≥99.00%, խտություն՝ 1,016 գ/մլ (25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օ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 – ում), կոնցենտրացիա` 2.7 Մ (25%), եռման ջերմաստիճան՝ 102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о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C, հալման ջերմաստիճան` -25 °C, կայուն է նորմալ ջերմաստիճանի և ճնշման պայմաններում, ներծծում է ածխաթթու գազ օդից, գոլորշիների խտությունը՝ 17.5 մմHg (20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vertAlign w:val="superscript"/>
                <w:lang w:val="hy-AM"/>
              </w:rPr>
              <w:t>o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C), լուծելի է ջրում, մեթանոլում, զգայուն է օդի նկատմամբ / ունի հիդրոսկոպիկ հատկություն, փաթեթավորումը՝  0</w:t>
            </w:r>
            <w:r w:rsidRPr="00D90ADC">
              <w:rPr>
                <w:rFonts w:ascii="Times New Roman" w:hAnsi="Times New Roman"/>
                <w:color w:val="333333"/>
                <w:sz w:val="14"/>
                <w:szCs w:val="14"/>
                <w:lang w:val="hy-AM"/>
              </w:rPr>
              <w:t>․</w:t>
            </w:r>
            <w:r w:rsidRPr="00D90ADC">
              <w:rPr>
                <w:rFonts w:ascii="Sylfaen" w:hAnsi="Sylfaen" w:cstheme="majorHAnsi"/>
                <w:color w:val="333333"/>
                <w:sz w:val="14"/>
                <w:szCs w:val="14"/>
                <w:lang w:val="hy-AM"/>
              </w:rPr>
              <w:t>25 լ</w:t>
            </w:r>
          </w:p>
          <w:p w14:paraId="48A616CE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 75-59-2</w:t>
            </w:r>
          </w:p>
          <w:p w14:paraId="26C5C284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0BC40817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7A770E6D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4471750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4FA2F963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3A462A20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30CADB5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714CE6DA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2E412205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13C2F827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7C3D077A" w14:textId="39B6BDF2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</w:tc>
      </w:tr>
      <w:tr w:rsidR="00D90ADC" w:rsidRPr="00322F71" w14:paraId="313420A7" w14:textId="77777777" w:rsidTr="00D90ADC">
        <w:trPr>
          <w:trHeight w:val="5338"/>
        </w:trPr>
        <w:tc>
          <w:tcPr>
            <w:tcW w:w="630" w:type="dxa"/>
            <w:shd w:val="clear" w:color="auto" w:fill="auto"/>
            <w:vAlign w:val="center"/>
          </w:tcPr>
          <w:p w14:paraId="5BEDC894" w14:textId="3734875E" w:rsidR="00D90ADC" w:rsidRP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4BB85" w14:textId="3BA21A16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Կալցիումի</w:t>
            </w:r>
            <w:proofErr w:type="spellEnd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 xml:space="preserve"> </w:t>
            </w:r>
            <w:proofErr w:type="spellStart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>հիդրատ</w:t>
            </w:r>
            <w:proofErr w:type="spellEnd"/>
            <w:r w:rsidRPr="008D36AE">
              <w:rPr>
                <w:rFonts w:ascii="GHEA Grapalat" w:hAnsi="GHEA Grapalat" w:cs="Sylfaen"/>
                <w:bCs/>
                <w:iCs/>
                <w:sz w:val="20"/>
              </w:rPr>
              <w:t xml:space="preserve"> CaH2,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AA6C" w14:textId="136081DB" w:rsidR="00D90ADC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8A131" w14:textId="30106142" w:rsidR="00D90ADC" w:rsidRPr="00011CBF" w:rsidRDefault="00D90ADC" w:rsidP="00D90ADC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C91DF" w14:textId="7F6FE0A9" w:rsidR="00D90ADC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CCE9" w14:textId="020AC2BD" w:rsidR="00D90ADC" w:rsidRPr="00011CBF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5E9A0" w14:textId="2078187C" w:rsidR="00D90ADC" w:rsidRPr="00C60FFA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700000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FC073FD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Կալցիումի հիդրատ CaH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/>
              </w:rPr>
              <w:t>2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 xml:space="preserve">, 250գ </w:t>
            </w:r>
          </w:p>
          <w:p w14:paraId="252E98D6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Կալցիումի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հիդրիդ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, 98% (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մետաղների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հիման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վրա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>բացառությամբ</w:t>
            </w:r>
            <w:proofErr w:type="spellEnd"/>
            <w:r w:rsidRPr="00D90ADC">
              <w:rPr>
                <w:rFonts w:ascii="Sylfaen" w:hAnsi="Sylfaen" w:cstheme="majorHAnsi"/>
                <w:bCs/>
                <w:sz w:val="14"/>
                <w:szCs w:val="14"/>
                <w:lang w:eastAsia="ru-RU"/>
              </w:rPr>
              <w:t xml:space="preserve"> Mg-ի), Mg &lt;1%,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eastAsia="ru-RU"/>
              </w:rPr>
              <w:t>250գ</w:t>
            </w:r>
          </w:p>
          <w:p w14:paraId="07AA211D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 </w:t>
            </w:r>
            <w:r w:rsidRPr="00D90ADC"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  <w:t>7789-78-8</w:t>
            </w:r>
          </w:p>
          <w:p w14:paraId="24C50112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34C6D779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4B44FED2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30F08B2B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1717B209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0315CCB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765AC92A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13E43DCF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3623E7D2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1A8130EB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693E61BD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theme="majorHAnsi"/>
                <w:color w:val="222222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1D107705" w14:textId="77777777" w:rsidR="00D90ADC" w:rsidRPr="00D90ADC" w:rsidRDefault="00D90ADC" w:rsidP="00D90ADC">
            <w:pPr>
              <w:pBdr>
                <w:bottom w:val="single" w:sz="6" w:space="8" w:color="EEEEEE"/>
              </w:pBdr>
              <w:tabs>
                <w:tab w:val="left" w:pos="176"/>
                <w:tab w:val="left" w:pos="540"/>
              </w:tabs>
              <w:spacing w:before="0" w:after="0"/>
              <w:ind w:left="0" w:firstLine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A1B539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</w:pP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>Կալցիումի հիդրատ CaH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vertAlign w:val="subscript"/>
                <w:lang w:val="hy-AM"/>
              </w:rPr>
              <w:t>2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/>
              </w:rPr>
              <w:t xml:space="preserve">, 250գ </w:t>
            </w:r>
          </w:p>
          <w:p w14:paraId="00B20A0D" w14:textId="77777777" w:rsidR="00D90ADC" w:rsidRPr="00D90ADC" w:rsidRDefault="00D90ADC" w:rsidP="00D90ADC">
            <w:pPr>
              <w:tabs>
                <w:tab w:val="left" w:pos="0"/>
                <w:tab w:val="left" w:pos="176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</w:pPr>
            <w:r w:rsidRPr="00D90ADC">
              <w:rPr>
                <w:rFonts w:ascii="Sylfaen" w:hAnsi="Sylfaen" w:cstheme="majorHAnsi"/>
                <w:bCs/>
                <w:sz w:val="14"/>
                <w:szCs w:val="14"/>
                <w:lang w:val="hy-AM" w:eastAsia="ru-RU"/>
              </w:rPr>
              <w:t>Կալցիումի հիդրիդ, 98% (մետաղների հիման վրա՝ բացառությամբ Mg-ի), Mg &lt;1%,</w:t>
            </w:r>
            <w:r w:rsidRPr="00D90ADC">
              <w:rPr>
                <w:rFonts w:ascii="Sylfaen" w:hAnsi="Sylfaen" w:cstheme="majorHAnsi"/>
                <w:b/>
                <w:bCs/>
                <w:sz w:val="14"/>
                <w:szCs w:val="14"/>
                <w:lang w:val="hy-AM" w:eastAsia="ru-RU"/>
              </w:rPr>
              <w:t>250գ</w:t>
            </w:r>
          </w:p>
          <w:p w14:paraId="49384CFE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</w:pPr>
            <w:r w:rsidRPr="00D90ADC">
              <w:rPr>
                <w:rFonts w:ascii="Sylfaen" w:hAnsi="Sylfaen" w:cstheme="majorHAnsi"/>
                <w:b/>
                <w:bCs/>
                <w:color w:val="222222"/>
                <w:sz w:val="14"/>
                <w:szCs w:val="14"/>
              </w:rPr>
              <w:t>CAS number: </w:t>
            </w:r>
            <w:r w:rsidRPr="00D90ADC">
              <w:rPr>
                <w:rFonts w:ascii="Sylfaen" w:hAnsi="Sylfaen" w:cstheme="majorHAnsi"/>
                <w:b/>
                <w:bCs/>
                <w:color w:val="800080"/>
                <w:sz w:val="14"/>
                <w:szCs w:val="14"/>
              </w:rPr>
              <w:t>7789-78-8</w:t>
            </w:r>
          </w:p>
          <w:p w14:paraId="0FEE95ED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="Arial"/>
                <w:color w:val="222222"/>
                <w:sz w:val="14"/>
                <w:szCs w:val="14"/>
                <w:lang w:eastAsia="hy-AM"/>
              </w:rPr>
            </w:pP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Պարտադիր</w:t>
            </w:r>
            <w:proofErr w:type="spellEnd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 xml:space="preserve"> </w:t>
            </w:r>
            <w:proofErr w:type="spellStart"/>
            <w:r w:rsidRPr="00D90ADC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eastAsia="hy-AM"/>
              </w:rPr>
              <w:t>պահանջներ</w:t>
            </w:r>
            <w:proofErr w:type="spellEnd"/>
          </w:p>
          <w:p w14:paraId="4EFA6862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նոր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պիտակավորված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,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վավերացված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սերտիֆիկացված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և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ճիշտ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778355C9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Յուրաքանչյուր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քիմիկատ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ունենա</w:t>
            </w:r>
            <w:proofErr w:type="spellEnd"/>
            <w:r w:rsidRPr="00D90ADC">
              <w:rPr>
                <w:rFonts w:ascii="Times New Roman" w:hAnsi="Times New Roman"/>
                <w:sz w:val="14"/>
                <w:szCs w:val="14"/>
              </w:rPr>
              <w:t>․</w:t>
            </w:r>
          </w:p>
          <w:p w14:paraId="047EE63A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Քիմիական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անվանում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CAS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1352E942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Մաքրություն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կոնցենտրացիա</w:t>
            </w:r>
            <w:proofErr w:type="spellEnd"/>
          </w:p>
          <w:p w14:paraId="6ECB4691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սերիական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</w:p>
          <w:p w14:paraId="075F0E5B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և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պիտանելիության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ժամկետ</w:t>
            </w:r>
            <w:proofErr w:type="spellEnd"/>
          </w:p>
          <w:p w14:paraId="64B67F44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Պահպանման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պայմաններ</w:t>
            </w:r>
            <w:proofErr w:type="spellEnd"/>
          </w:p>
          <w:p w14:paraId="483D351C" w14:textId="77777777" w:rsidR="00D90ADC" w:rsidRPr="00D90ADC" w:rsidRDefault="00D90ADC" w:rsidP="00D90ADC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/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զգուշացնող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նշաններ</w:t>
            </w:r>
            <w:proofErr w:type="spellEnd"/>
          </w:p>
          <w:p w14:paraId="6F2B521A" w14:textId="77777777" w:rsidR="00D90ADC" w:rsidRPr="00D90ADC" w:rsidRDefault="00D90ADC" w:rsidP="00D90AD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jc w:val="both"/>
              <w:rPr>
                <w:rFonts w:ascii="Sylfaen" w:hAnsi="Sylfaen" w:cstheme="majorHAnsi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կցված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լինեն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Անալիզի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վկայագիր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(CoA),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անվտանգության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տվյալների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թերթիկ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(SDS)։</w:t>
            </w:r>
          </w:p>
          <w:p w14:paraId="6BF9B4F7" w14:textId="77777777" w:rsidR="00D90ADC" w:rsidRPr="00D90ADC" w:rsidRDefault="00D90ADC" w:rsidP="00D90ADC">
            <w:pPr>
              <w:shd w:val="clear" w:color="auto" w:fill="FFFFFF"/>
              <w:tabs>
                <w:tab w:val="left" w:pos="176"/>
                <w:tab w:val="left" w:pos="461"/>
              </w:tabs>
              <w:spacing w:before="0" w:after="0"/>
              <w:ind w:left="0" w:firstLine="0"/>
              <w:rPr>
                <w:rFonts w:ascii="Sylfaen" w:hAnsi="Sylfaen" w:cstheme="majorHAnsi"/>
                <w:color w:val="222222"/>
                <w:sz w:val="14"/>
                <w:szCs w:val="14"/>
              </w:rPr>
            </w:pP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Պետք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է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մատակարարվեն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 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փակ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արտադրողի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անփոփոխ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փաթեթավորմամբ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,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անվտանգ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տեղափոխման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համար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նախատեսված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 xml:space="preserve"> </w:t>
            </w:r>
            <w:proofErr w:type="spellStart"/>
            <w:r w:rsidRPr="00D90ADC">
              <w:rPr>
                <w:rFonts w:ascii="Sylfaen" w:hAnsi="Sylfaen" w:cstheme="majorHAnsi"/>
                <w:sz w:val="14"/>
                <w:szCs w:val="14"/>
              </w:rPr>
              <w:t>տարաներում</w:t>
            </w:r>
            <w:proofErr w:type="spellEnd"/>
            <w:r w:rsidRPr="00D90ADC">
              <w:rPr>
                <w:rFonts w:ascii="Sylfaen" w:hAnsi="Sylfaen" w:cstheme="majorHAnsi"/>
                <w:sz w:val="14"/>
                <w:szCs w:val="14"/>
              </w:rPr>
              <w:t>։</w:t>
            </w:r>
          </w:p>
          <w:p w14:paraId="1BB2B0C4" w14:textId="77777777" w:rsidR="00D90ADC" w:rsidRPr="00D90ADC" w:rsidRDefault="00D90ADC" w:rsidP="00D90ADC">
            <w:pPr>
              <w:tabs>
                <w:tab w:val="left" w:pos="176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D90ADC" w:rsidRPr="00322F71" w14:paraId="71A4197C" w14:textId="77777777" w:rsidTr="00D90ADC">
        <w:trPr>
          <w:trHeight w:val="379"/>
        </w:trPr>
        <w:tc>
          <w:tcPr>
            <w:tcW w:w="11030" w:type="dxa"/>
            <w:gridSpan w:val="35"/>
            <w:shd w:val="clear" w:color="auto" w:fill="9CC2E5" w:themeFill="accent1" w:themeFillTint="99"/>
            <w:vAlign w:val="center"/>
          </w:tcPr>
          <w:p w14:paraId="715554D3" w14:textId="77777777" w:rsidR="00D90ADC" w:rsidRPr="00175A10" w:rsidRDefault="00D90ADC" w:rsidP="00D90ADC">
            <w:pPr>
              <w:spacing w:before="0" w:after="0"/>
              <w:ind w:left="34" w:firstLine="0"/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D90ADC" w:rsidRPr="00322F71" w14:paraId="24C3B0CB" w14:textId="77777777" w:rsidTr="00D90ADC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322F71" w14:paraId="075EEA57" w14:textId="77777777" w:rsidTr="00D90ADC">
        <w:trPr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C90707" w14:paraId="681596E8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8BE8D6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11.09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D90ADC" w:rsidRPr="00C90707" w14:paraId="199F948A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C90707" w14:paraId="6EE9B008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C90707" w14:paraId="13FE412E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D90ADC" w:rsidRPr="00C90707" w14:paraId="321D26CF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90ADC" w:rsidRPr="00C90707" w14:paraId="68E691E2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90ADC" w:rsidRPr="00C90707" w14:paraId="30B89418" w14:textId="77777777" w:rsidTr="00D90ADC">
        <w:trPr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90ADC" w:rsidRPr="00C90707" w14:paraId="10DC4861" w14:textId="77777777" w:rsidTr="00D90ADC">
        <w:trPr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35" w:type="dxa"/>
            <w:gridSpan w:val="19"/>
            <w:shd w:val="clear" w:color="auto" w:fill="auto"/>
            <w:vAlign w:val="center"/>
          </w:tcPr>
          <w:p w14:paraId="1FD38684" w14:textId="2B462658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90ADC" w:rsidRPr="00C90707" w14:paraId="3FD00E3A" w14:textId="77777777" w:rsidTr="00D90ADC">
        <w:trPr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35EE2FE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90ADC" w:rsidRPr="00C90707" w14:paraId="30997F94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06909B51" w:rsidR="00D90ADC" w:rsidRPr="00B37B89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D90ADC" w:rsidRPr="00923136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B6EC8A" w14:textId="1047F2C1" w:rsidR="00D90ADC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29D5FD8" w14:textId="3D58BC98" w:rsidR="00D90ADC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72C918" w14:textId="77777777" w:rsidR="00D90ADC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D90ADC" w:rsidRPr="00C90707" w14:paraId="0C2F7C1D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D90ADC" w:rsidRPr="001C0950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02B475EB" w:rsidR="00D90ADC" w:rsidRPr="00F62653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44F5DE7C" w14:textId="26DB9A49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409000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7651E7B" w14:textId="51CA0A43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6D4F0995" w14:textId="131291F2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409000</w:t>
            </w:r>
          </w:p>
        </w:tc>
      </w:tr>
      <w:tr w:rsidR="00D90ADC" w:rsidRPr="00C90707" w14:paraId="0D517251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551201E6" w14:textId="3A3A7DC0" w:rsidR="00D90ADC" w:rsidRPr="001C0950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EDFA7BA" w14:textId="77777777" w:rsidR="00D90ADC" w:rsidRPr="00F62653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553255DF" w14:textId="3EC611CC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7153AE9" w14:textId="33B1BF90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5481A987" w14:textId="14070576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D90ADC" w:rsidRPr="00C90707" w14:paraId="0149E6C1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E854396" w14:textId="3002EB8E" w:rsidR="00D90ADC" w:rsidRPr="001C0950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97E8891" w14:textId="529FDF7C" w:rsidR="00D90ADC" w:rsidRPr="00F62653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7649E98E" w14:textId="1A80CA75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34000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C91E659" w14:textId="4EF881C2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543E9E40" w14:textId="4A75BF5D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34000</w:t>
            </w:r>
          </w:p>
        </w:tc>
      </w:tr>
      <w:tr w:rsidR="00D90ADC" w:rsidRPr="00C90707" w14:paraId="712096FB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11B40D1C" w14:textId="0A4D1073" w:rsidR="00D90ADC" w:rsidRPr="006A0A85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4367AFA8" w14:textId="671CCE63" w:rsidR="00D90ADC" w:rsidRPr="00322F71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7BCA9A9E" w14:textId="59E3B608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39000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69A9064" w14:textId="2E96CC04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12A222E0" w14:textId="223B3372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39000</w:t>
            </w:r>
          </w:p>
        </w:tc>
      </w:tr>
      <w:tr w:rsidR="00D90ADC" w:rsidRPr="00C90707" w14:paraId="4C4224EA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718400DE" w14:textId="2157830C" w:rsidR="00D90ADC" w:rsidRP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02231D1" w14:textId="77777777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6ADE11CA" w14:textId="71424F6A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45D5DC1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6CE29A30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D90ADC" w:rsidRPr="00C90707" w14:paraId="311E8D19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10A7188" w14:textId="4501896C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8B24087" w14:textId="1E2F7BED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69626643" w14:textId="331C25F2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39000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7EFA15D7" w14:textId="6A1D7571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5B24E2D3" w14:textId="54315C0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39000</w:t>
            </w:r>
          </w:p>
        </w:tc>
      </w:tr>
      <w:tr w:rsidR="00D90ADC" w:rsidRPr="00C90707" w14:paraId="0477556F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136BB925" w14:textId="2197694A" w:rsidR="00D90ADC" w:rsidRP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6AA6A8E" w14:textId="77777777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2C68035" w14:textId="0167C6E8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44315B0D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47EEDD8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D90ADC" w:rsidRPr="00C90707" w14:paraId="6627D502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029C0C8" w14:textId="41B646E9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4CD598B7" w14:textId="08CB31BD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39507913" w14:textId="695E7FE4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375000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5F41AA83" w14:textId="072F4E8A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753750E8" w14:textId="04A45A8E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375000</w:t>
            </w:r>
          </w:p>
        </w:tc>
      </w:tr>
      <w:tr w:rsidR="00D90ADC" w:rsidRPr="00C90707" w14:paraId="5583B819" w14:textId="77777777" w:rsidTr="00FA7617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68629A" w14:textId="763FD202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09B7EDF" w14:textId="09689955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bottom"/>
          </w:tcPr>
          <w:p w14:paraId="685EEB14" w14:textId="695D3D1F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541000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1C6D55B4" w14:textId="3CE4B97B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bottom"/>
          </w:tcPr>
          <w:p w14:paraId="297DADDD" w14:textId="30329D2E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541000</w:t>
            </w:r>
          </w:p>
        </w:tc>
      </w:tr>
      <w:tr w:rsidR="00D90ADC" w:rsidRPr="00C90707" w14:paraId="69EFCF6E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1465F8B0" w14:textId="7C3DD5C7" w:rsidR="00D90ADC" w:rsidRP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70222B9" w14:textId="77777777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7FAE22F" w14:textId="6E9C02CF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EC3E9C9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CEC8D27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D90ADC" w:rsidRPr="00C90707" w14:paraId="48B4B7DD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405E296" w14:textId="1C8C4687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0D24472" w14:textId="4C7A5A58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D98ACD8" w14:textId="359AA6BD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42400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752BB5CE" w14:textId="2DAC8A1D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8EA89C9" w14:textId="20C4ABE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42400</w:t>
            </w:r>
          </w:p>
        </w:tc>
      </w:tr>
      <w:tr w:rsidR="00D90ADC" w:rsidRPr="00C90707" w14:paraId="3649E280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5AEA8FC" w14:textId="0CE8CFBE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8958039" w14:textId="5A766378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A64D8C8" w14:textId="08FB61C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49DD54D6" w14:textId="4F3B39A0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B0C69F6" w14:textId="34038D9E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</w:tr>
      <w:tr w:rsidR="00D90ADC" w:rsidRPr="00C90707" w14:paraId="0089E5FE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632FC9D2" w14:textId="7176AE97" w:rsidR="00D90ADC" w:rsidRP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B5E76AC" w14:textId="77777777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1FB8837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19A576C1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BC99C9B" w14:textId="77777777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D90ADC" w:rsidRPr="00C90707" w14:paraId="23D8C547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7C623EF" w14:textId="404E5709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75D4FFC" w14:textId="186DDDD9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1D226F3" w14:textId="15D134EE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554600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62D1F28" w14:textId="2E1E86B8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C110425" w14:textId="075CB1EE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554600</w:t>
            </w:r>
          </w:p>
        </w:tc>
      </w:tr>
      <w:tr w:rsidR="00D90ADC" w:rsidRPr="00C90707" w14:paraId="6F6F7533" w14:textId="77777777" w:rsidTr="00D90ADC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C95D73A" w14:textId="49E47EAF" w:rsidR="00D90ADC" w:rsidRDefault="00D90ADC" w:rsidP="00D90ADC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B6EAEE6" w14:textId="5DDCE9E5" w:rsidR="00D90ADC" w:rsidRPr="006A0A85" w:rsidRDefault="00D90ADC" w:rsidP="00D90ADC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0389DCC" w14:textId="15E857D2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660000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570A78B2" w14:textId="64230148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7C5197C" w14:textId="0A22AE89" w:rsidR="00D90ADC" w:rsidRPr="006A0A85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20"/>
              </w:rPr>
              <w:t>660000</w:t>
            </w:r>
          </w:p>
        </w:tc>
      </w:tr>
      <w:tr w:rsidR="00D90ADC" w:rsidRPr="00C90707" w14:paraId="700CD07F" w14:textId="6487660D" w:rsidTr="00D90ADC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D90ADC" w:rsidRPr="005B6BF2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90ADC" w:rsidRPr="00C90707" w14:paraId="521126E1" w14:textId="77777777" w:rsidTr="00D90ADC"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90ADC" w:rsidRPr="00C90707" w14:paraId="552679BF" w14:textId="77777777" w:rsidTr="00D90ADC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90ADC" w:rsidRPr="00C90707" w14:paraId="3CA6FABC" w14:textId="77777777" w:rsidTr="00D90ADC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90ADC" w:rsidRPr="00C90707" w14:paraId="5E96A1C5" w14:textId="77777777" w:rsidTr="00D90ADC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ADC" w:rsidRPr="00C90707" w14:paraId="522ACAFB" w14:textId="77777777" w:rsidTr="00D90ADC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30"/>
            <w:shd w:val="clear" w:color="auto" w:fill="auto"/>
            <w:vAlign w:val="center"/>
          </w:tcPr>
          <w:p w14:paraId="71AB42B3" w14:textId="6A88353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90ADC" w:rsidRPr="00C90707" w14:paraId="617248CD" w14:textId="77777777" w:rsidTr="00D90ADC">
        <w:trPr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ADC" w:rsidRPr="00C90707" w14:paraId="1515C769" w14:textId="77777777" w:rsidTr="00D90ADC">
        <w:trPr>
          <w:trHeight w:val="202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268E450" w:rsidR="00D90ADC" w:rsidRPr="00EB2067" w:rsidRDefault="00D90ADC" w:rsidP="00D90A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90ADC" w:rsidRPr="00C90707" w14:paraId="71BEA872" w14:textId="77777777" w:rsidTr="00D90ADC">
        <w:trPr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90ADC" w:rsidRPr="00C90707" w14:paraId="04C80107" w14:textId="77777777" w:rsidTr="00D90ADC">
        <w:trPr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085225" w:rsidR="00D90ADC" w:rsidRPr="00322F71" w:rsidRDefault="00D90ADC" w:rsidP="00D90A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21.09.2025</w:t>
            </w:r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A906ED" w:rsidR="00D90ADC" w:rsidRPr="00322F71" w:rsidRDefault="00D90ADC" w:rsidP="00D90A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30.09.2025</w:t>
            </w:r>
          </w:p>
        </w:tc>
      </w:tr>
      <w:tr w:rsidR="00D90ADC" w:rsidRPr="00C90707" w14:paraId="2254FA5C" w14:textId="28F34143" w:rsidTr="00D90ADC">
        <w:trPr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2A7D84FA" w:rsidR="00D90ADC" w:rsidRPr="00EB2067" w:rsidRDefault="00D90ADC" w:rsidP="00D90A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90ADC" w:rsidRPr="00C90707" w14:paraId="3C75DA26" w14:textId="77777777" w:rsidTr="00D90ADC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592D291C" w:rsidR="00D90ADC" w:rsidRPr="00EB2067" w:rsidRDefault="00D90ADC" w:rsidP="00D90A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90ADC" w:rsidRPr="00C90707" w14:paraId="0682C6BE" w14:textId="77777777" w:rsidTr="00D90ADC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90ADC" w:rsidRPr="00EB206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058D52EF" w:rsidR="00D90ADC" w:rsidRPr="00EB2067" w:rsidRDefault="00D90ADC" w:rsidP="00D90A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90ADC" w:rsidRPr="00C90707" w14:paraId="79A64497" w14:textId="77777777" w:rsidTr="00D90ADC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D90ADC" w:rsidRPr="005B6BF2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D90ADC" w:rsidRPr="00C90707" w14:paraId="4E4EA255" w14:textId="77777777" w:rsidTr="00D90ADC"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6"/>
            <w:shd w:val="clear" w:color="auto" w:fill="auto"/>
            <w:vAlign w:val="center"/>
          </w:tcPr>
          <w:p w14:paraId="0A5086C3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90ADC" w:rsidRPr="00C90707" w14:paraId="11F19FA1" w14:textId="77777777" w:rsidTr="00D90ADC">
        <w:trPr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856C5C6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90ADC" w:rsidRPr="00C90707" w14:paraId="4DC53241" w14:textId="77777777" w:rsidTr="00D90ADC">
        <w:trPr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078A8417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67FA13FC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shd w:val="clear" w:color="auto" w:fill="auto"/>
            <w:vAlign w:val="center"/>
          </w:tcPr>
          <w:p w14:paraId="73BBD2A3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shd w:val="clear" w:color="auto" w:fill="auto"/>
            <w:vAlign w:val="center"/>
          </w:tcPr>
          <w:p w14:paraId="078CB506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90ADC" w:rsidRPr="00C90707" w14:paraId="75FDA7D8" w14:textId="77777777" w:rsidTr="00D90ADC">
        <w:trPr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90ADC" w:rsidRPr="00C90707" w14:paraId="645A5925" w14:textId="77777777" w:rsidTr="00D90ADC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60851C18" w:rsidR="00D90ADC" w:rsidRPr="00175A10" w:rsidRDefault="00D90ADC" w:rsidP="00D90ADC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90ADC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2,4,5,6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36F8F31" w14:textId="0CE1490F" w:rsidR="00D90ADC" w:rsidRPr="00011CBF" w:rsidRDefault="00D90ADC" w:rsidP="00D90ADC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09D5040D" w14:textId="6DE00B2B" w:rsidR="00D90ADC" w:rsidRPr="00655487" w:rsidRDefault="00D90ADC" w:rsidP="00D90AD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61-1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091182" w14:textId="69A9D2FD" w:rsidR="00D90ADC" w:rsidRPr="00EB2067" w:rsidRDefault="00D90ADC" w:rsidP="00D90AD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12F17734" w14:textId="0A30EC2B" w:rsidR="00D90ADC" w:rsidRPr="00EB2067" w:rsidRDefault="00D90ADC" w:rsidP="00D90AD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երկու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5476CA99" w14:textId="3DEE809C" w:rsidR="00D90ADC" w:rsidRPr="00EB2067" w:rsidRDefault="00D90ADC" w:rsidP="00D90ADC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D90ADC" w:rsidRPr="00C808C7" w:rsidRDefault="00D90ADC" w:rsidP="00D90ADC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4BA089" w14:textId="2131D27E" w:rsidR="00D90ADC" w:rsidRPr="00D90ADC" w:rsidRDefault="00D90ADC" w:rsidP="00D90ADC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D90ADC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1006000</w:t>
            </w:r>
          </w:p>
        </w:tc>
      </w:tr>
      <w:tr w:rsidR="00D90ADC" w:rsidRPr="00D90ADC" w14:paraId="465F78D8" w14:textId="77777777" w:rsidTr="00D90ADC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7867A2FB" w14:textId="539A889B" w:rsidR="00D90ADC" w:rsidRDefault="00D90ADC" w:rsidP="00D90ADC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1,3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AE46EC4" w14:textId="39BC747B" w:rsidR="00D90ADC" w:rsidRPr="006A0A85" w:rsidRDefault="00D90ADC" w:rsidP="00D90ADC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687A23A7" w14:textId="1A78563B" w:rsidR="00D90ADC" w:rsidRPr="00D90ADC" w:rsidRDefault="00D90ADC" w:rsidP="00D90AD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0B69E54" w14:textId="7D02BA2F" w:rsidR="00D90ADC" w:rsidRDefault="00D90ADC" w:rsidP="00D90AD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68E4BC21" w14:textId="6CAD8FB6" w:rsidR="00D90ADC" w:rsidRPr="00D90ADC" w:rsidRDefault="00D90ADC" w:rsidP="00D90AD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երկու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2A121FFF" w14:textId="34359568" w:rsidR="00D90ADC" w:rsidRPr="00D90ADC" w:rsidRDefault="00D90ADC" w:rsidP="00D90ADC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14624398" w14:textId="06B17D5E" w:rsidR="00D90ADC" w:rsidRPr="00C808C7" w:rsidRDefault="00D90ADC" w:rsidP="00D90ADC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8C7DC69" w14:textId="3925DA4E" w:rsidR="00D90ADC" w:rsidRDefault="00D90ADC" w:rsidP="00D90ADC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448000</w:t>
            </w:r>
          </w:p>
        </w:tc>
      </w:tr>
      <w:tr w:rsidR="00D90ADC" w:rsidRPr="00DB011A" w14:paraId="41E4ED39" w14:textId="77777777" w:rsidTr="00D90ADC">
        <w:trPr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90ADC" w:rsidRPr="00C90707" w14:paraId="1F657639" w14:textId="77777777" w:rsidTr="00D90ADC">
        <w:trPr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D90ADC" w:rsidRPr="00EB206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90ADC" w:rsidRPr="00EB206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90ADC" w:rsidRPr="00C90707" w14:paraId="0416DEDF" w14:textId="77777777" w:rsidTr="00D90ADC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0F354425" w:rsidR="00D90ADC" w:rsidRPr="00175A10" w:rsidRDefault="00D90ADC" w:rsidP="00D90ADC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90ADC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2,4,5,6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24A962F4" w:rsidR="00D90ADC" w:rsidRPr="00175A10" w:rsidRDefault="00D90ADC" w:rsidP="00D90ADC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3490" w14:textId="77777777" w:rsidR="00D90ADC" w:rsidRPr="00D90ADC" w:rsidRDefault="00D90ADC" w:rsidP="009174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Ք.Երևան</w:t>
            </w:r>
            <w:proofErr w:type="gram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Բաշինջաղյան 2-րդ նրբ., 10շ., բն.58</w:t>
            </w:r>
          </w:p>
          <w:p w14:paraId="51339931" w14:textId="27CF53E0" w:rsidR="00D90ADC" w:rsidRPr="00655487" w:rsidRDefault="00D90ADC" w:rsidP="0091742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 043 38-06-10 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57D190DD" w:rsidR="00D90ADC" w:rsidRPr="00655487" w:rsidRDefault="00D90ADC" w:rsidP="0091742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extra.mot2024@gmail.com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05B882BD" w:rsidR="00D90ADC" w:rsidRPr="0065548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1425C2F5" w:rsidR="00D90ADC" w:rsidRPr="0065548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01336677</w:t>
            </w:r>
          </w:p>
        </w:tc>
      </w:tr>
      <w:tr w:rsidR="00D90ADC" w:rsidRPr="00C90707" w14:paraId="4C7D7C56" w14:textId="77777777" w:rsidTr="00D90ADC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D2F1" w14:textId="1145E5D6" w:rsidR="00D90ADC" w:rsidRDefault="00D90ADC" w:rsidP="00D90ADC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1,3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32F2E" w14:textId="2762B32B" w:rsidR="00D90ADC" w:rsidRPr="006A0A85" w:rsidRDefault="00D90ADC" w:rsidP="00D90ADC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Հելիոն</w:t>
            </w:r>
            <w:proofErr w:type="spellEnd"/>
            <w:r w:rsidRPr="00CE6A9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88306" w14:textId="77777777" w:rsidR="00D90ADC" w:rsidRPr="00D90ADC" w:rsidRDefault="00D90ADC" w:rsidP="009174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Ք.Երևան, Նանսենիփ.15շ. բն.29</w:t>
            </w:r>
          </w:p>
          <w:p w14:paraId="5715EA6D" w14:textId="23776B07" w:rsidR="00D90ADC" w:rsidRPr="006A0A85" w:rsidRDefault="00D90ADC" w:rsidP="0091742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 095 54-30-78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F3508" w14:textId="3751AA1C" w:rsidR="00D90ADC" w:rsidRPr="006A0A85" w:rsidRDefault="00D90ADC" w:rsidP="0091742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bagratyanr@bk.ru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26126" w14:textId="127C521F" w:rsidR="00D90ADC" w:rsidRPr="0065548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E8B7" w14:textId="07B4E0BD" w:rsidR="00D90ADC" w:rsidRPr="006A0A85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01055436</w:t>
            </w:r>
          </w:p>
        </w:tc>
      </w:tr>
      <w:tr w:rsidR="00D90ADC" w:rsidRPr="00C90707" w14:paraId="496A046D" w14:textId="77777777" w:rsidTr="00D90ADC">
        <w:trPr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0A72E738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D90ADC" w:rsidRPr="00F62653" w14:paraId="3863A00B" w14:textId="77777777" w:rsidTr="00D90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90ADC" w:rsidRPr="00C90707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719649C" w:rsidR="00D90ADC" w:rsidRPr="006A0A85" w:rsidRDefault="00D90ADC" w:rsidP="00D90A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</w:p>
        </w:tc>
      </w:tr>
      <w:tr w:rsidR="00D90ADC" w:rsidRPr="00F62653" w14:paraId="485BF528" w14:textId="77777777" w:rsidTr="00D90ADC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D90ADC" w:rsidRPr="00D90ADC" w14:paraId="7DB42300" w14:textId="77777777" w:rsidTr="00D90ADC">
        <w:trPr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D90ADC" w:rsidRPr="00C90707" w:rsidRDefault="00D90ADC" w:rsidP="00D90ADC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D90ADC" w:rsidRPr="00C90707" w:rsidRDefault="00D90ADC" w:rsidP="00D90ADC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90ADC" w:rsidRPr="00C90707" w:rsidRDefault="00D90ADC" w:rsidP="00D90ADC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D90ADC" w:rsidRPr="00C90707" w:rsidRDefault="00D90ADC" w:rsidP="00D90ADC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D90ADC" w:rsidRPr="00C90707" w:rsidRDefault="00D90ADC" w:rsidP="00D90ADC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D90ADC" w:rsidRPr="00C90707" w:rsidRDefault="00D90ADC" w:rsidP="00D90ADC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D90ADC" w:rsidRPr="00C90707" w:rsidRDefault="00D90ADC" w:rsidP="00D90ADC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D90ADC" w:rsidRPr="00D90ADC" w14:paraId="3CC8B38C" w14:textId="77777777" w:rsidTr="00D90ADC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D90ADC" w14:paraId="5484FA73" w14:textId="77777777" w:rsidTr="00D90ADC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D90ADC" w:rsidRPr="00D90ADC" w14:paraId="5A7FED5D" w14:textId="6827D5A8" w:rsidTr="00D90ADC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D90ADC" w14:paraId="40B30E88" w14:textId="77777777" w:rsidTr="00D90ADC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D90ADC" w:rsidRPr="00D90ADC" w14:paraId="541BD7F7" w14:textId="16C8ED43" w:rsidTr="00D90ADC">
        <w:trPr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D90ADC" w14:paraId="4DE14D25" w14:textId="77777777" w:rsidTr="00D90ADC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D90ADC" w:rsidRPr="00D90ADC" w14:paraId="1DAD5D5C" w14:textId="77777777" w:rsidTr="00D90ADC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0ADC" w:rsidRPr="00C90707" w14:paraId="5F667D89" w14:textId="77777777" w:rsidTr="00D90ADC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90ADC" w:rsidRPr="00C90707" w14:paraId="406B68D6" w14:textId="77777777" w:rsidTr="00D90ADC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D90ADC" w:rsidRPr="00C90707" w:rsidRDefault="00D90ADC" w:rsidP="00D90A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ADC" w:rsidRPr="00C90707" w14:paraId="1A2BD291" w14:textId="77777777" w:rsidTr="00D90ADC">
        <w:trPr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0ADC" w:rsidRPr="00C90707" w14:paraId="002AF1AD" w14:textId="77777777" w:rsidTr="00D90ADC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90ADC" w:rsidRPr="00C90707" w:rsidRDefault="00D90ADC" w:rsidP="00D90A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90ADC" w:rsidRPr="00C90707" w14:paraId="6C6C269C" w14:textId="77777777" w:rsidTr="00D90ADC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695093D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10"/>
            <w:shd w:val="clear" w:color="auto" w:fill="auto"/>
            <w:vAlign w:val="center"/>
          </w:tcPr>
          <w:p w14:paraId="3C42DEDA" w14:textId="24D9ED1B" w:rsidR="00D90ADC" w:rsidRPr="00C90707" w:rsidRDefault="00D90ADC" w:rsidP="00D90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20122994" w:rsidR="00D90ADC" w:rsidRPr="00541A77" w:rsidRDefault="00D90AD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90ADC" w:rsidRPr="002D0BF6" w:rsidRDefault="00D90AD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90ADC" w:rsidRPr="002D0BF6" w:rsidRDefault="00D90AD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D90ADC" w:rsidRPr="002D0BF6" w:rsidRDefault="00D90AD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0ADC" w:rsidRPr="002D0BF6" w:rsidRDefault="00D90AD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91A"/>
    <w:multiLevelType w:val="hybridMultilevel"/>
    <w:tmpl w:val="E7C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1F34"/>
    <w:multiLevelType w:val="multilevel"/>
    <w:tmpl w:val="6CDE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673DA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44F3"/>
    <w:rsid w:val="001D54CC"/>
    <w:rsid w:val="001D6BD5"/>
    <w:rsid w:val="001E0091"/>
    <w:rsid w:val="001E749A"/>
    <w:rsid w:val="001F214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22F71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19A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5487"/>
    <w:rsid w:val="0065711E"/>
    <w:rsid w:val="0065720A"/>
    <w:rsid w:val="00665C9E"/>
    <w:rsid w:val="006848C0"/>
    <w:rsid w:val="00690ECB"/>
    <w:rsid w:val="00693705"/>
    <w:rsid w:val="00695904"/>
    <w:rsid w:val="006A0A85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7F34A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1742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C3EDB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0ADC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01C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paragraph" w:customStyle="1" w:styleId="TableParagraph">
    <w:name w:val="Table Paragraph"/>
    <w:basedOn w:val="a"/>
    <w:uiPriority w:val="1"/>
    <w:qFormat/>
    <w:rsid w:val="006A0A85"/>
    <w:pPr>
      <w:widowControl w:val="0"/>
      <w:autoSpaceDE w:val="0"/>
      <w:autoSpaceDN w:val="0"/>
      <w:spacing w:before="177" w:after="0"/>
      <w:ind w:left="38" w:firstLine="0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2176</Words>
  <Characters>12409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173</cp:revision>
  <cp:lastPrinted>2025-10-03T17:04:00Z</cp:lastPrinted>
  <dcterms:created xsi:type="dcterms:W3CDTF">2022-03-19T10:32:00Z</dcterms:created>
  <dcterms:modified xsi:type="dcterms:W3CDTF">2025-10-03T17:05:00Z</dcterms:modified>
</cp:coreProperties>
</file>